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FB" w:rsidRDefault="00094B62" w:rsidP="00094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CLINICAL DECISION-MAKING USING FRACTIONAL FLOW RESERVE IN ACUTE CORONARY SYNDROMES</w:t>
      </w:r>
    </w:p>
    <w:p w:rsidR="00BF41FB" w:rsidRPr="00094B62" w:rsidRDefault="00BF41FB" w:rsidP="00094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B62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094B62" w:rsidRPr="00094B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94B62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86053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94B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94B62">
        <w:rPr>
          <w:rFonts w:ascii="Times New Roman" w:hAnsi="Times New Roman" w:cs="Times New Roman"/>
          <w:b/>
          <w:sz w:val="24"/>
          <w:szCs w:val="24"/>
          <w:u w:val="single"/>
        </w:rPr>
        <w:t>Uretsky</w:t>
      </w:r>
      <w:proofErr w:type="spellEnd"/>
    </w:p>
    <w:p w:rsidR="00094B62" w:rsidRPr="00094B62" w:rsidRDefault="00094B62" w:rsidP="00094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he-IL"/>
        </w:rPr>
      </w:pPr>
      <w:r w:rsidRPr="00094B62">
        <w:rPr>
          <w:rFonts w:ascii="Times New Roman" w:eastAsia="Times New Roman" w:hAnsi="Times New Roman" w:cs="Times New Roman"/>
          <w:color w:val="222222"/>
          <w:sz w:val="24"/>
          <w:szCs w:val="24"/>
          <w:lang w:bidi="he-IL"/>
        </w:rPr>
        <w:t>University of A</w:t>
      </w:r>
      <w:bookmarkStart w:id="0" w:name="_GoBack"/>
      <w:bookmarkEnd w:id="0"/>
      <w:r w:rsidRPr="00094B62">
        <w:rPr>
          <w:rFonts w:ascii="Times New Roman" w:eastAsia="Times New Roman" w:hAnsi="Times New Roman" w:cs="Times New Roman"/>
          <w:color w:val="222222"/>
          <w:sz w:val="24"/>
          <w:szCs w:val="24"/>
          <w:lang w:bidi="he-IL"/>
        </w:rPr>
        <w:t>rkansas for Medical Sciences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e-IL"/>
        </w:rPr>
        <w:t xml:space="preserve">, </w:t>
      </w:r>
      <w:r w:rsidRPr="00094B62">
        <w:rPr>
          <w:rFonts w:ascii="Times New Roman" w:eastAsia="Times New Roman" w:hAnsi="Times New Roman" w:cs="Times New Roman"/>
          <w:color w:val="222222"/>
          <w:sz w:val="24"/>
          <w:szCs w:val="24"/>
          <w:lang w:bidi="he-IL"/>
        </w:rPr>
        <w:t>Little Rock, 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e-IL"/>
        </w:rPr>
        <w:t>, USA</w:t>
      </w:r>
      <w:r w:rsidRPr="00094B62">
        <w:rPr>
          <w:rFonts w:ascii="Times New Roman" w:eastAsia="Times New Roman" w:hAnsi="Times New Roman" w:cs="Times New Roman"/>
          <w:color w:val="222222"/>
          <w:sz w:val="24"/>
          <w:szCs w:val="24"/>
          <w:lang w:bidi="he-IL"/>
        </w:rPr>
        <w:t> </w:t>
      </w:r>
    </w:p>
    <w:p w:rsidR="00094B62" w:rsidRPr="00F12AB0" w:rsidRDefault="00094B62" w:rsidP="00094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1FB" w:rsidRPr="00F12AB0" w:rsidRDefault="00BF41FB" w:rsidP="00094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62">
        <w:rPr>
          <w:rFonts w:ascii="Times New Roman" w:hAnsi="Times New Roman" w:cs="Times New Roman"/>
          <w:bCs/>
          <w:i/>
          <w:iCs/>
          <w:sz w:val="24"/>
          <w:szCs w:val="24"/>
        </w:rPr>
        <w:t>Background:</w:t>
      </w:r>
      <w:r w:rsidRPr="00F12AB0">
        <w:rPr>
          <w:rFonts w:ascii="Times New Roman" w:hAnsi="Times New Roman" w:cs="Times New Roman"/>
          <w:sz w:val="24"/>
          <w:szCs w:val="24"/>
        </w:rPr>
        <w:t xml:space="preserve"> Deferring percutaneous coronary intervention (PCI) in non-ischemic lesions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Pr="00F12AB0">
        <w:rPr>
          <w:rFonts w:ascii="Times New Roman" w:hAnsi="Times New Roman" w:cs="Times New Roman"/>
          <w:sz w:val="24"/>
          <w:szCs w:val="24"/>
        </w:rPr>
        <w:t>fractional flow reserve (FFR) is associated with excellent long-term prognosis in patients with stable ischemic heart disease (SIHD). While FFR is increasingly being used for clinical decision-making in acute coronary syndrome (ACS) patients with intermediate lesions, its effect on long-term prognosis has not been well established.</w:t>
      </w:r>
    </w:p>
    <w:p w:rsidR="00BF41FB" w:rsidRPr="00F12AB0" w:rsidRDefault="00BF41FB" w:rsidP="00094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62">
        <w:rPr>
          <w:rFonts w:ascii="Times New Roman" w:hAnsi="Times New Roman" w:cs="Times New Roman"/>
          <w:bCs/>
          <w:i/>
          <w:iCs/>
          <w:sz w:val="24"/>
          <w:szCs w:val="24"/>
        </w:rPr>
        <w:t>Methods:</w:t>
      </w:r>
      <w:r w:rsidRPr="00F12AB0">
        <w:rPr>
          <w:rFonts w:ascii="Times New Roman" w:hAnsi="Times New Roman" w:cs="Times New Roman"/>
          <w:sz w:val="24"/>
          <w:szCs w:val="24"/>
        </w:rPr>
        <w:t xml:space="preserve"> 206 consecutive </w:t>
      </w:r>
      <w:r>
        <w:rPr>
          <w:rFonts w:ascii="Times New Roman" w:hAnsi="Times New Roman" w:cs="Times New Roman"/>
          <w:sz w:val="24"/>
          <w:szCs w:val="24"/>
        </w:rPr>
        <w:t xml:space="preserve">ACS </w:t>
      </w:r>
      <w:r w:rsidRPr="00F12AB0">
        <w:rPr>
          <w:rFonts w:ascii="Times New Roman" w:hAnsi="Times New Roman" w:cs="Times New Roman"/>
          <w:sz w:val="24"/>
          <w:szCs w:val="24"/>
        </w:rPr>
        <w:t>patients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B0">
        <w:rPr>
          <w:rFonts w:ascii="Times New Roman" w:hAnsi="Times New Roman" w:cs="Times New Roman"/>
          <w:sz w:val="24"/>
          <w:szCs w:val="24"/>
        </w:rPr>
        <w:t xml:space="preserve">262 </w:t>
      </w:r>
      <w:r>
        <w:rPr>
          <w:rFonts w:ascii="Times New Roman" w:hAnsi="Times New Roman" w:cs="Times New Roman"/>
          <w:sz w:val="24"/>
          <w:szCs w:val="24"/>
        </w:rPr>
        <w:t xml:space="preserve">intermediate </w:t>
      </w:r>
      <w:r w:rsidRPr="00F12AB0">
        <w:rPr>
          <w:rFonts w:ascii="Times New Roman" w:hAnsi="Times New Roman" w:cs="Times New Roman"/>
          <w:sz w:val="24"/>
          <w:szCs w:val="24"/>
        </w:rPr>
        <w:t>lesions and 370 patients with SIHD (528 lesions) in whom revascularization was deferred based on a non-ischemic FFR (&gt;0.75)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B0">
        <w:rPr>
          <w:rFonts w:ascii="Times New Roman" w:hAnsi="Times New Roman" w:cs="Times New Roman"/>
          <w:sz w:val="24"/>
          <w:szCs w:val="24"/>
        </w:rPr>
        <w:t>were studied. Primary outcome measure was a composite of myocardial infarction (MI) and target vessel failure (TVF)</w:t>
      </w:r>
      <w:r>
        <w:rPr>
          <w:rFonts w:ascii="Times New Roman" w:hAnsi="Times New Roman" w:cs="Times New Roman"/>
          <w:sz w:val="24"/>
          <w:szCs w:val="24"/>
        </w:rPr>
        <w:t xml:space="preserve"> (MACE)</w:t>
      </w:r>
      <w:r w:rsidRPr="00F12AB0">
        <w:rPr>
          <w:rFonts w:ascii="Times New Roman" w:hAnsi="Times New Roman" w:cs="Times New Roman"/>
          <w:sz w:val="24"/>
          <w:szCs w:val="24"/>
        </w:rPr>
        <w:t>.</w:t>
      </w:r>
    </w:p>
    <w:p w:rsidR="00BF41FB" w:rsidRPr="00F12AB0" w:rsidRDefault="00BF41FB" w:rsidP="00094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62">
        <w:rPr>
          <w:rFonts w:ascii="Times New Roman" w:hAnsi="Times New Roman" w:cs="Times New Roman"/>
          <w:bCs/>
          <w:i/>
          <w:iCs/>
          <w:sz w:val="24"/>
          <w:szCs w:val="24"/>
        </w:rPr>
        <w:t>Results:</w:t>
      </w:r>
      <w:r w:rsidRPr="00F12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AB0">
        <w:rPr>
          <w:rFonts w:ascii="Times New Roman" w:hAnsi="Times New Roman" w:cs="Times New Roman"/>
          <w:sz w:val="24"/>
          <w:szCs w:val="24"/>
        </w:rPr>
        <w:t>In the entire cohort, long-term (3.4</w:t>
      </w:r>
      <w:r w:rsidRPr="00F12AB0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F12AB0">
        <w:rPr>
          <w:rFonts w:ascii="Times New Roman" w:hAnsi="Times New Roman" w:cs="Times New Roman"/>
          <w:sz w:val="24"/>
          <w:szCs w:val="24"/>
        </w:rPr>
        <w:t>1.6 years) MACE rate was higher in the ACS comp</w:t>
      </w:r>
      <w:r>
        <w:rPr>
          <w:rFonts w:ascii="Times New Roman" w:hAnsi="Times New Roman" w:cs="Times New Roman"/>
          <w:sz w:val="24"/>
          <w:szCs w:val="24"/>
        </w:rPr>
        <w:t>ared with the SIHD group (</w:t>
      </w:r>
      <w:r w:rsidRPr="00F12AB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% vs. </w:t>
      </w:r>
      <w:r w:rsidRPr="00F12AB0">
        <w:rPr>
          <w:rFonts w:ascii="Times New Roman" w:hAnsi="Times New Roman" w:cs="Times New Roman"/>
          <w:sz w:val="24"/>
          <w:szCs w:val="24"/>
        </w:rPr>
        <w:t xml:space="preserve">11%, p &lt; 0.0001). </w:t>
      </w:r>
      <w:r w:rsidRPr="00F12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AB0">
        <w:rPr>
          <w:rFonts w:ascii="Times New Roman" w:hAnsi="Times New Roman" w:cs="Times New Roman"/>
          <w:sz w:val="24"/>
          <w:szCs w:val="24"/>
        </w:rPr>
        <w:t xml:space="preserve">After propensity score matching, (200 patients/group), MACE remained significantly higher (ACS, 25 % vs. SIHD, 12%; p&lt;0.0001). </w:t>
      </w:r>
      <w:r>
        <w:rPr>
          <w:rFonts w:ascii="Times New Roman" w:hAnsi="Times New Roman" w:cs="Times New Roman"/>
          <w:sz w:val="24"/>
          <w:szCs w:val="24"/>
        </w:rPr>
        <w:t>On Cox proportional hazards analysis for MACE,</w:t>
      </w:r>
      <w:r w:rsidRPr="00F12AB0">
        <w:rPr>
          <w:rFonts w:ascii="Times New Roman" w:hAnsi="Times New Roman" w:cs="Times New Roman"/>
          <w:sz w:val="24"/>
          <w:szCs w:val="24"/>
        </w:rPr>
        <w:t xml:space="preserve"> ACS had HR 2.8 (95% CI 1.9-4.0; p&lt;0.0001). In both the matched and unmatched cohorts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2AB0">
        <w:rPr>
          <w:rFonts w:ascii="Times New Roman" w:hAnsi="Times New Roman" w:cs="Times New Roman"/>
          <w:sz w:val="24"/>
          <w:szCs w:val="24"/>
        </w:rPr>
        <w:t xml:space="preserve"> across all FFR categories, ACS patients had a significantly higher annualized MI/TVR rate compared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F12AB0">
        <w:rPr>
          <w:rFonts w:ascii="Times New Roman" w:hAnsi="Times New Roman" w:cs="Times New Roman"/>
          <w:sz w:val="24"/>
          <w:szCs w:val="24"/>
        </w:rPr>
        <w:t xml:space="preserve">SIHD (P&lt;0.05).  ROC analysis identified an FFR cutoff (best predictive accuracy for MACE) of &lt;0.84 for ACS (MACE </w:t>
      </w:r>
      <w:r>
        <w:rPr>
          <w:rFonts w:ascii="Times New Roman" w:hAnsi="Times New Roman" w:cs="Times New Roman"/>
          <w:sz w:val="24"/>
          <w:szCs w:val="24"/>
        </w:rPr>
        <w:t>21% vs. 36%; p=0.007) and &lt;</w:t>
      </w:r>
      <w:r w:rsidRPr="00F12AB0">
        <w:rPr>
          <w:rFonts w:ascii="Times New Roman" w:hAnsi="Times New Roman" w:cs="Times New Roman"/>
          <w:sz w:val="24"/>
          <w:szCs w:val="24"/>
        </w:rPr>
        <w:t>0.81 for SIHD (MACE 17% vs. 9%; p=0.01).</w:t>
      </w:r>
    </w:p>
    <w:p w:rsidR="00BF41FB" w:rsidRPr="00F12AB0" w:rsidRDefault="00BF41FB" w:rsidP="00094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62">
        <w:rPr>
          <w:rFonts w:ascii="Times New Roman" w:hAnsi="Times New Roman" w:cs="Times New Roman"/>
          <w:bCs/>
          <w:i/>
          <w:iCs/>
          <w:sz w:val="24"/>
          <w:szCs w:val="24"/>
        </w:rPr>
        <w:t>Conclusion:</w:t>
      </w:r>
      <w:r w:rsidRPr="00F12AB0">
        <w:rPr>
          <w:rFonts w:ascii="Times New Roman" w:hAnsi="Times New Roman" w:cs="Times New Roman"/>
          <w:sz w:val="24"/>
          <w:szCs w:val="24"/>
        </w:rPr>
        <w:t xml:space="preserve"> Deferring PCI based on non-ischemic FFR in patients with initial presentation of ACS is associated with significantly worse outcomes compared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F12AB0">
        <w:rPr>
          <w:rFonts w:ascii="Times New Roman" w:hAnsi="Times New Roman" w:cs="Times New Roman"/>
          <w:sz w:val="24"/>
          <w:szCs w:val="24"/>
        </w:rPr>
        <w:t xml:space="preserve"> SIHD</w:t>
      </w:r>
      <w:r>
        <w:rPr>
          <w:rFonts w:ascii="Times New Roman" w:hAnsi="Times New Roman" w:cs="Times New Roman"/>
          <w:sz w:val="24"/>
          <w:szCs w:val="24"/>
        </w:rPr>
        <w:t xml:space="preserve"> using thresholds developed for SIHD</w:t>
      </w:r>
      <w:r w:rsidRPr="00F12AB0">
        <w:rPr>
          <w:rFonts w:ascii="Times New Roman" w:hAnsi="Times New Roman" w:cs="Times New Roman"/>
          <w:sz w:val="24"/>
          <w:szCs w:val="24"/>
        </w:rPr>
        <w:t>. Caution is warranted in using FFR for clinical decision-making in ACS patients</w:t>
      </w:r>
      <w:r>
        <w:rPr>
          <w:rFonts w:ascii="Times New Roman" w:hAnsi="Times New Roman" w:cs="Times New Roman"/>
          <w:sz w:val="24"/>
          <w:szCs w:val="24"/>
        </w:rPr>
        <w:t xml:space="preserve"> using values derived from patients with SIHD and suggests the possibility of using a higher threshold (FFR &gt;0.84) for deferral of intervention in ACS patients</w:t>
      </w:r>
      <w:r w:rsidRPr="00F12AB0">
        <w:rPr>
          <w:rFonts w:ascii="Times New Roman" w:hAnsi="Times New Roman" w:cs="Times New Roman"/>
          <w:sz w:val="24"/>
          <w:szCs w:val="24"/>
        </w:rPr>
        <w:t>.</w:t>
      </w:r>
    </w:p>
    <w:p w:rsidR="00BF41FB" w:rsidRPr="00F12AB0" w:rsidRDefault="00BF41FB" w:rsidP="0009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1FB" w:rsidRPr="00F12AB0" w:rsidRDefault="00BF41FB" w:rsidP="0009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D3A" w:rsidRDefault="00045042" w:rsidP="00094B62">
      <w:pPr>
        <w:spacing w:after="0" w:line="240" w:lineRule="auto"/>
      </w:pPr>
    </w:p>
    <w:sectPr w:rsidR="00406D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042" w:rsidRDefault="00045042" w:rsidP="00094B62">
      <w:pPr>
        <w:spacing w:after="0" w:line="240" w:lineRule="auto"/>
      </w:pPr>
      <w:r>
        <w:separator/>
      </w:r>
    </w:p>
  </w:endnote>
  <w:endnote w:type="continuationSeparator" w:id="0">
    <w:p w:rsidR="00045042" w:rsidRDefault="00045042" w:rsidP="0009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042" w:rsidRDefault="00045042" w:rsidP="00094B62">
      <w:pPr>
        <w:spacing w:after="0" w:line="240" w:lineRule="auto"/>
      </w:pPr>
      <w:r>
        <w:separator/>
      </w:r>
    </w:p>
  </w:footnote>
  <w:footnote w:type="continuationSeparator" w:id="0">
    <w:p w:rsidR="00045042" w:rsidRDefault="00045042" w:rsidP="0009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62" w:rsidRDefault="00094B62" w:rsidP="00094B62">
    <w:pPr>
      <w:pStyle w:val="Header"/>
    </w:pPr>
    <w:r>
      <w:t xml:space="preserve">3160 </w:t>
    </w:r>
  </w:p>
  <w:p w:rsidR="00094B62" w:rsidRDefault="00094B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9F"/>
    <w:rsid w:val="00045042"/>
    <w:rsid w:val="00094B62"/>
    <w:rsid w:val="00101196"/>
    <w:rsid w:val="002E66C4"/>
    <w:rsid w:val="0061249F"/>
    <w:rsid w:val="006541ED"/>
    <w:rsid w:val="00860533"/>
    <w:rsid w:val="00BF41FB"/>
    <w:rsid w:val="00FC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5E690-8E39-41A8-8D8C-E510AE1C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1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B62"/>
  </w:style>
  <w:style w:type="paragraph" w:styleId="Footer">
    <w:name w:val="footer"/>
    <w:basedOn w:val="Normal"/>
    <w:link w:val="FooterChar"/>
    <w:uiPriority w:val="99"/>
    <w:unhideWhenUsed/>
    <w:rsid w:val="00094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8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3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1267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8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34114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2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58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22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04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336114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18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017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131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391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339926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8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705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74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uretsky</dc:creator>
  <cp:keywords/>
  <dc:description/>
  <cp:lastModifiedBy>Karyn-PC</cp:lastModifiedBy>
  <cp:revision>4</cp:revision>
  <dcterms:created xsi:type="dcterms:W3CDTF">2016-05-30T14:12:00Z</dcterms:created>
  <dcterms:modified xsi:type="dcterms:W3CDTF">2016-05-30T14:17:00Z</dcterms:modified>
</cp:coreProperties>
</file>